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2D7756">
        <w:rPr>
          <w:rFonts w:ascii="Arial" w:hAnsi="Arial" w:cs="Arial"/>
          <w:b/>
          <w:bCs/>
          <w:sz w:val="28"/>
        </w:rPr>
        <w:t>109</w:t>
      </w:r>
      <w:r>
        <w:rPr>
          <w:rFonts w:ascii="Arial" w:hAnsi="Arial" w:cs="Arial"/>
          <w:b/>
          <w:bCs/>
          <w:sz w:val="28"/>
        </w:rPr>
        <w:t>-</w:t>
      </w:r>
      <w:r w:rsidRPr="002F76F9">
        <w:rPr>
          <w:rFonts w:ascii="Arial" w:hAnsi="Arial" w:cs="Arial"/>
          <w:b/>
          <w:bCs/>
          <w:sz w:val="28"/>
        </w:rPr>
        <w:t>e</w:t>
      </w:r>
      <w:r w:rsidR="00BC0709" w:rsidRPr="002F76F9">
        <w:rPr>
          <w:rFonts w:ascii="Arial" w:eastAsia="바탕" w:hAnsi="Arial" w:cs="Arial"/>
          <w:b/>
          <w:bCs/>
          <w:sz w:val="28"/>
          <w:szCs w:val="24"/>
        </w:rPr>
        <w:t xml:space="preserve"> </w:t>
      </w:r>
      <w:r w:rsidR="004A31F7"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w:t>
      </w:r>
      <w:r w:rsidR="008A4F8B" w:rsidRPr="002F76F9">
        <w:rPr>
          <w:rFonts w:ascii="Arial" w:eastAsia="바탕" w:hAnsi="Arial" w:cs="Arial"/>
          <w:b/>
          <w:bCs/>
          <w:sz w:val="28"/>
          <w:szCs w:val="24"/>
        </w:rPr>
        <w:t xml:space="preserve">   </w:t>
      </w:r>
      <w:r w:rsidR="009E12C3"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R1-</w:t>
      </w:r>
      <w:r w:rsidR="002D7756" w:rsidRPr="00953893">
        <w:rPr>
          <w:rFonts w:ascii="Arial" w:eastAsia="바탕" w:hAnsi="Arial" w:cs="Arial"/>
          <w:b/>
          <w:bCs/>
          <w:sz w:val="28"/>
          <w:szCs w:val="24"/>
        </w:rPr>
        <w:t>22</w:t>
      </w:r>
      <w:r w:rsidR="00C45889" w:rsidRPr="00C45889">
        <w:rPr>
          <w:rFonts w:ascii="Arial" w:eastAsia="바탕" w:hAnsi="Arial" w:cs="Arial"/>
          <w:b/>
          <w:bCs/>
          <w:sz w:val="28"/>
          <w:szCs w:val="24"/>
        </w:rPr>
        <w:t>04630</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2D7756" w:rsidRPr="00A80D3B">
        <w:rPr>
          <w:rFonts w:ascii="Arial" w:hAnsi="Arial" w:cs="Arial"/>
          <w:b/>
          <w:bCs/>
          <w:sz w:val="28"/>
          <w:lang w:eastAsia="ja-JP"/>
        </w:rPr>
        <w:t xml:space="preserve">May </w:t>
      </w:r>
      <w:r w:rsidR="002D7756">
        <w:rPr>
          <w:rFonts w:ascii="Arial" w:hAnsi="Arial" w:cs="Arial"/>
          <w:b/>
          <w:bCs/>
          <w:sz w:val="28"/>
          <w:lang w:eastAsia="ja-JP"/>
        </w:rPr>
        <w:t>9</w:t>
      </w:r>
      <w:r w:rsidR="002D7756" w:rsidRPr="00A80D3B">
        <w:rPr>
          <w:rFonts w:ascii="Arial" w:hAnsi="Arial" w:cs="Arial"/>
          <w:b/>
          <w:bCs/>
          <w:sz w:val="28"/>
          <w:vertAlign w:val="superscript"/>
          <w:lang w:eastAsia="ja-JP"/>
        </w:rPr>
        <w:t>th</w:t>
      </w:r>
      <w:r w:rsidR="002D7756" w:rsidRPr="00A80D3B">
        <w:rPr>
          <w:rFonts w:ascii="Arial" w:hAnsi="Arial" w:cs="Arial"/>
          <w:b/>
          <w:bCs/>
          <w:sz w:val="28"/>
          <w:lang w:eastAsia="ja-JP"/>
        </w:rPr>
        <w:t xml:space="preserve"> – 2</w:t>
      </w:r>
      <w:r w:rsidR="002D7756">
        <w:rPr>
          <w:rFonts w:ascii="Arial" w:hAnsi="Arial" w:cs="Arial"/>
          <w:b/>
          <w:bCs/>
          <w:sz w:val="28"/>
          <w:lang w:eastAsia="ja-JP"/>
        </w:rPr>
        <w:t>0</w:t>
      </w:r>
      <w:r w:rsidR="002D7756" w:rsidRPr="00A80D3B">
        <w:rPr>
          <w:rFonts w:ascii="Arial" w:hAnsi="Arial" w:cs="Arial"/>
          <w:b/>
          <w:bCs/>
          <w:sz w:val="28"/>
          <w:vertAlign w:val="superscript"/>
          <w:lang w:eastAsia="ja-JP"/>
        </w:rPr>
        <w:t>th</w:t>
      </w:r>
      <w:r w:rsidR="002D7756" w:rsidRPr="00A80D3B">
        <w:rPr>
          <w:rFonts w:ascii="Arial" w:hAnsi="Arial" w:cs="Arial"/>
          <w:b/>
          <w:bCs/>
          <w:sz w:val="28"/>
          <w:lang w:eastAsia="ja-JP"/>
        </w:rPr>
        <w:t xml:space="preserve">, </w:t>
      </w:r>
      <w:r w:rsidR="00566C7D">
        <w:rPr>
          <w:rFonts w:ascii="Arial" w:hAnsi="Arial" w:cs="Arial"/>
          <w:b/>
          <w:bCs/>
          <w:sz w:val="28"/>
          <w:lang w:eastAsia="ja-JP"/>
        </w:rPr>
        <w:t>2022</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C45889" w:rsidRPr="00C45889">
        <w:rPr>
          <w:rFonts w:ascii="Arial" w:eastAsia="맑은 고딕" w:hAnsi="Arial"/>
          <w:sz w:val="24"/>
          <w:lang w:val="en-US" w:eastAsia="ko-KR"/>
        </w:rPr>
        <w:t>9.9.1</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BC1E18"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C45889" w:rsidRPr="00C45889">
        <w:rPr>
          <w:rFonts w:ascii="Arial" w:eastAsia="바탕" w:hAnsi="Arial"/>
          <w:sz w:val="24"/>
          <w:lang w:eastAsia="ko-KR"/>
        </w:rPr>
        <w:t>Discussion on NR PDCCH reception in symbols with LTE CRS REs</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0D6A38"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Pr="006E5A16">
        <w:rPr>
          <w:rFonts w:eastAsia="바탕"/>
          <w:sz w:val="22"/>
          <w:szCs w:val="22"/>
          <w:lang w:eastAsia="ko-KR"/>
        </w:rPr>
        <w:t xml:space="preserve"> </w:t>
      </w:r>
      <w:r w:rsidR="00E04EFE" w:rsidRPr="006E5A16">
        <w:rPr>
          <w:rFonts w:eastAsia="바탕"/>
          <w:sz w:val="22"/>
          <w:szCs w:val="22"/>
          <w:lang w:eastAsia="ko-KR"/>
        </w:rPr>
        <w:t>RAN#</w:t>
      </w:r>
      <w:r w:rsidR="007879B1">
        <w:rPr>
          <w:rFonts w:eastAsia="바탕"/>
          <w:sz w:val="22"/>
          <w:szCs w:val="22"/>
          <w:lang w:eastAsia="ko-KR"/>
        </w:rPr>
        <w:t>94e</w:t>
      </w:r>
      <w:r w:rsidR="00E04EFE" w:rsidRPr="006E5A16">
        <w:rPr>
          <w:rFonts w:eastAsia="바탕"/>
          <w:sz w:val="22"/>
          <w:szCs w:val="22"/>
          <w:lang w:eastAsia="ko-KR"/>
        </w:rPr>
        <w:t xml:space="preserve">, </w:t>
      </w:r>
      <w:r w:rsidR="007879B1">
        <w:rPr>
          <w:rFonts w:eastAsia="바탕"/>
          <w:sz w:val="22"/>
          <w:szCs w:val="22"/>
          <w:lang w:eastAsia="ko-KR"/>
        </w:rPr>
        <w:t xml:space="preserve">a new WI for enhancement </w:t>
      </w:r>
      <w:r w:rsidR="00C45889">
        <w:rPr>
          <w:rFonts w:eastAsia="바탕"/>
          <w:sz w:val="22"/>
          <w:szCs w:val="22"/>
          <w:lang w:eastAsia="ko-KR"/>
        </w:rPr>
        <w:t xml:space="preserve">of </w:t>
      </w:r>
      <w:r w:rsidR="00C45889" w:rsidRPr="009829CE">
        <w:rPr>
          <w:rFonts w:eastAsia="바탕"/>
          <w:sz w:val="22"/>
          <w:szCs w:val="22"/>
          <w:lang w:eastAsia="ko-KR"/>
        </w:rPr>
        <w:t xml:space="preserve">NR </w:t>
      </w:r>
      <w:r w:rsidR="00C45889">
        <w:rPr>
          <w:rFonts w:eastAsia="바탕"/>
          <w:sz w:val="22"/>
          <w:szCs w:val="22"/>
          <w:lang w:eastAsia="ko-KR"/>
        </w:rPr>
        <w:t xml:space="preserve">DSS </w:t>
      </w:r>
      <w:r w:rsidR="007879B1">
        <w:rPr>
          <w:rFonts w:eastAsia="바탕"/>
          <w:sz w:val="22"/>
          <w:szCs w:val="22"/>
          <w:lang w:eastAsia="ko-KR"/>
        </w:rPr>
        <w:t>in Rel-18 was approved with following objective in WID</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067" w:type="dxa"/>
        <w:jc w:val="center"/>
        <w:tblLook w:val="04A0" w:firstRow="1" w:lastRow="0" w:firstColumn="1" w:lastColumn="0" w:noHBand="0" w:noVBand="1"/>
      </w:tblPr>
      <w:tblGrid>
        <w:gridCol w:w="9067"/>
      </w:tblGrid>
      <w:tr w:rsidR="00142FCE" w:rsidRPr="00C45889" w:rsidTr="00C45BCE">
        <w:trPr>
          <w:jc w:val="center"/>
        </w:trPr>
        <w:tc>
          <w:tcPr>
            <w:tcW w:w="9067" w:type="dxa"/>
          </w:tcPr>
          <w:p w:rsidR="00C45889" w:rsidRPr="00C45BCE" w:rsidRDefault="00C45889" w:rsidP="00C45BCE">
            <w:pPr>
              <w:overflowPunct w:val="0"/>
              <w:autoSpaceDE w:val="0"/>
              <w:autoSpaceDN w:val="0"/>
              <w:adjustRightInd w:val="0"/>
              <w:spacing w:after="60" w:line="240" w:lineRule="auto"/>
              <w:ind w:left="0" w:firstLine="0"/>
              <w:contextualSpacing/>
              <w:jc w:val="left"/>
              <w:textAlignment w:val="baseline"/>
              <w:rPr>
                <w:rFonts w:eastAsia="SimSun"/>
                <w:iCs/>
                <w:sz w:val="22"/>
                <w:szCs w:val="22"/>
                <w:lang w:val="en-US" w:eastAsia="zh-CN"/>
              </w:rPr>
            </w:pPr>
            <w:r w:rsidRPr="00C45BCE">
              <w:rPr>
                <w:rFonts w:eastAsia="SimSun"/>
                <w:iCs/>
                <w:sz w:val="22"/>
                <w:szCs w:val="22"/>
                <w:lang w:val="en-US" w:eastAsia="zh-CN"/>
              </w:rPr>
              <w:t>The following objectives shall be included for improvement of NR spectrum efficiency for LTE-NR co-existence (RAN1):</w:t>
            </w:r>
          </w:p>
          <w:p w:rsidR="00C45889" w:rsidRPr="00C45BCE" w:rsidRDefault="00C45889" w:rsidP="00C45BCE">
            <w:pPr>
              <w:numPr>
                <w:ilvl w:val="0"/>
                <w:numId w:val="98"/>
              </w:numPr>
              <w:overflowPunct w:val="0"/>
              <w:autoSpaceDE w:val="0"/>
              <w:autoSpaceDN w:val="0"/>
              <w:adjustRightInd w:val="0"/>
              <w:spacing w:after="60" w:line="240" w:lineRule="auto"/>
              <w:contextualSpacing/>
              <w:jc w:val="left"/>
              <w:textAlignment w:val="baseline"/>
              <w:rPr>
                <w:sz w:val="22"/>
                <w:szCs w:val="22"/>
                <w:lang w:val="en-US" w:eastAsia="ja-JP"/>
              </w:rPr>
            </w:pPr>
            <w:r w:rsidRPr="00C45BCE">
              <w:rPr>
                <w:sz w:val="22"/>
                <w:szCs w:val="22"/>
                <w:lang w:val="en-US" w:eastAsia="ja-JP"/>
              </w:rPr>
              <w:t>Study and if needed specify NR PDCCH reception in symbols with LTE CRS REs. [RAN1]</w:t>
            </w:r>
          </w:p>
          <w:p w:rsidR="00C45889" w:rsidRPr="00C45BCE" w:rsidRDefault="00C45889" w:rsidP="00C45BCE">
            <w:pPr>
              <w:numPr>
                <w:ilvl w:val="1"/>
                <w:numId w:val="98"/>
              </w:numPr>
              <w:overflowPunct w:val="0"/>
              <w:autoSpaceDE w:val="0"/>
              <w:autoSpaceDN w:val="0"/>
              <w:adjustRightInd w:val="0"/>
              <w:spacing w:after="60" w:line="240" w:lineRule="auto"/>
              <w:contextualSpacing/>
              <w:jc w:val="left"/>
              <w:textAlignment w:val="baseline"/>
              <w:rPr>
                <w:rFonts w:eastAsia="SimSun"/>
                <w:sz w:val="22"/>
                <w:szCs w:val="22"/>
                <w:lang w:eastAsia="zh-CN"/>
              </w:rPr>
            </w:pPr>
            <w:r w:rsidRPr="00C45BCE">
              <w:rPr>
                <w:rFonts w:eastAsia="SimSun"/>
                <w:sz w:val="22"/>
                <w:szCs w:val="22"/>
                <w:lang w:eastAsia="zh-CN"/>
              </w:rPr>
              <w:t>Investigate enabling LTE CRS to puncture NR PDCCH, including the impact to NR PDCCH DMRS if there is the performance gain from the additional PDCCH resources.</w:t>
            </w:r>
          </w:p>
          <w:p w:rsidR="00C45889" w:rsidRPr="00C45BCE" w:rsidRDefault="00C45889" w:rsidP="00C45889">
            <w:pPr>
              <w:overflowPunct w:val="0"/>
              <w:autoSpaceDE w:val="0"/>
              <w:autoSpaceDN w:val="0"/>
              <w:adjustRightInd w:val="0"/>
              <w:spacing w:after="60" w:line="240" w:lineRule="auto"/>
              <w:contextualSpacing/>
              <w:jc w:val="left"/>
              <w:textAlignment w:val="baseline"/>
              <w:rPr>
                <w:rFonts w:eastAsia="바탕"/>
                <w:sz w:val="22"/>
                <w:szCs w:val="22"/>
                <w:lang w:eastAsia="x-none"/>
              </w:rPr>
            </w:pPr>
            <w:r w:rsidRPr="00C45BCE">
              <w:rPr>
                <w:rFonts w:eastAsia="SimSun"/>
                <w:sz w:val="22"/>
                <w:szCs w:val="22"/>
                <w:lang w:eastAsia="zh-CN"/>
              </w:rPr>
              <w:t>Allow a UE to support, and be configured with, two overlapping CRS rate matching patterns regardless of support or configuration of multi-TRP [RAN1, RAN2]</w:t>
            </w:r>
          </w:p>
        </w:tc>
      </w:tr>
    </w:tbl>
    <w:p w:rsidR="004F6257" w:rsidRPr="00142FCE" w:rsidRDefault="004F6257" w:rsidP="00671D1E">
      <w:pPr>
        <w:spacing w:before="120" w:after="120" w:line="240" w:lineRule="auto"/>
        <w:ind w:left="284" w:hangingChars="129"/>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4F6257" w:rsidRPr="00E50B29">
        <w:rPr>
          <w:rFonts w:eastAsia="바탕"/>
          <w:bCs/>
          <w:sz w:val="22"/>
          <w:szCs w:val="22"/>
          <w:lang w:val="en-US" w:eastAsia="ko-KR"/>
        </w:rPr>
        <w:t xml:space="preserve">on </w:t>
      </w:r>
      <w:r w:rsidR="001E3CFA">
        <w:rPr>
          <w:rFonts w:eastAsia="바탕"/>
          <w:bCs/>
          <w:sz w:val="22"/>
          <w:szCs w:val="22"/>
          <w:lang w:val="en-US" w:eastAsia="ko-KR"/>
        </w:rPr>
        <w:t xml:space="preserve">consideration points for </w:t>
      </w:r>
      <w:r w:rsidR="00C45889">
        <w:rPr>
          <w:rFonts w:eastAsia="바탕"/>
          <w:bCs/>
          <w:sz w:val="22"/>
          <w:szCs w:val="22"/>
          <w:lang w:val="en-US" w:eastAsia="ko-KR"/>
        </w:rPr>
        <w:t>the NR PDCCH reception in symbols with LTE CRS REs</w:t>
      </w:r>
      <w:r w:rsidR="001E3CFA">
        <w:rPr>
          <w:rFonts w:eastAsia="바탕"/>
          <w:bCs/>
          <w:sz w:val="22"/>
          <w:szCs w:val="22"/>
          <w:lang w:val="en-US" w:eastAsia="ko-KR"/>
        </w:rPr>
        <w:t>.</w:t>
      </w:r>
    </w:p>
    <w:p w:rsidR="00B63BF1" w:rsidRPr="0012206F" w:rsidRDefault="00B63BF1" w:rsidP="00671D1E">
      <w:pPr>
        <w:spacing w:before="120" w:after="120" w:line="240" w:lineRule="auto"/>
        <w:ind w:left="284" w:hangingChars="129"/>
        <w:rPr>
          <w:rFonts w:eastAsia="바탕"/>
          <w:sz w:val="22"/>
          <w:szCs w:val="22"/>
          <w:lang w:val="en-US" w:eastAsia="ko-KR"/>
        </w:rPr>
      </w:pPr>
    </w:p>
    <w:p w:rsidR="00993C5F" w:rsidRPr="00FE2B0D" w:rsidRDefault="00C45889" w:rsidP="00D95FC2">
      <w:pPr>
        <w:pStyle w:val="1"/>
        <w:numPr>
          <w:ilvl w:val="0"/>
          <w:numId w:val="1"/>
        </w:numPr>
        <w:spacing w:before="300"/>
        <w:rPr>
          <w:rFonts w:eastAsia="바탕" w:cs="Arial"/>
          <w:b/>
          <w:lang w:eastAsia="ko-KR"/>
        </w:rPr>
      </w:pPr>
      <w:r>
        <w:rPr>
          <w:rFonts w:eastAsia="바탕" w:cs="Arial"/>
          <w:b/>
          <w:lang w:eastAsia="ko-KR"/>
        </w:rPr>
        <w:t>Discussions</w:t>
      </w:r>
    </w:p>
    <w:p w:rsidR="004C7CEB" w:rsidRPr="00C45BCE" w:rsidRDefault="00C45BCE"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onsidering </w:t>
      </w:r>
      <w:r>
        <w:rPr>
          <w:rFonts w:eastAsia="바탕"/>
          <w:sz w:val="22"/>
          <w:szCs w:val="22"/>
          <w:lang w:eastAsia="ko-KR"/>
        </w:rPr>
        <w:t>NR PDCCH transmission/reception in LTE CRS symbols, it is necessary to consider/discuss on how to composite the REGs for the NR PDCCH in the LTE CRS symbols. There can be three different ways to composite the REGs</w:t>
      </w:r>
      <w:r w:rsidR="00FE0AEE">
        <w:rPr>
          <w:rFonts w:eastAsia="바탕"/>
          <w:sz w:val="22"/>
          <w:szCs w:val="22"/>
          <w:lang w:eastAsia="ko-KR"/>
        </w:rPr>
        <w:t xml:space="preserve"> according to whether the DMRS REs are included in the REGs and whether the </w:t>
      </w:r>
      <w:r w:rsidR="004A3540">
        <w:rPr>
          <w:rFonts w:eastAsia="바탕"/>
          <w:sz w:val="22"/>
          <w:szCs w:val="22"/>
          <w:lang w:eastAsia="ko-KR"/>
        </w:rPr>
        <w:t>interval</w:t>
      </w:r>
      <w:r w:rsidR="00FE0AEE">
        <w:rPr>
          <w:rFonts w:eastAsia="바탕"/>
          <w:sz w:val="22"/>
          <w:szCs w:val="22"/>
          <w:lang w:eastAsia="ko-KR"/>
        </w:rPr>
        <w:t xml:space="preserve"> between adjacent DMRS REs is kept as in Rel-15.</w:t>
      </w:r>
    </w:p>
    <w:p w:rsidR="006F6CE2" w:rsidRPr="004A3540" w:rsidRDefault="006F6CE2" w:rsidP="004C7CEB">
      <w:pPr>
        <w:spacing w:before="120" w:after="120" w:line="240" w:lineRule="auto"/>
        <w:ind w:left="0" w:firstLineChars="100" w:firstLine="220"/>
        <w:rPr>
          <w:rFonts w:eastAsia="바탕"/>
          <w:sz w:val="22"/>
          <w:szCs w:val="22"/>
          <w:lang w:eastAsia="ko-KR"/>
        </w:rPr>
      </w:pPr>
    </w:p>
    <w:p w:rsidR="00FE0AEE" w:rsidRDefault="00FE0AEE" w:rsidP="00FE0AEE">
      <w:pPr>
        <w:pStyle w:val="ac"/>
        <w:numPr>
          <w:ilvl w:val="0"/>
          <w:numId w:val="10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Option 1: </w:t>
      </w:r>
      <w:r w:rsidR="00C00989">
        <w:rPr>
          <w:rFonts w:ascii="Times New Roman" w:hAnsi="Times New Roman"/>
          <w:sz w:val="22"/>
          <w:szCs w:val="22"/>
          <w:lang w:eastAsia="ko-KR"/>
        </w:rPr>
        <w:t>No DMRS</w:t>
      </w:r>
      <w:r w:rsidR="004A3540">
        <w:rPr>
          <w:rFonts w:ascii="Times New Roman" w:hAnsi="Times New Roman"/>
          <w:sz w:val="22"/>
          <w:szCs w:val="22"/>
          <w:lang w:eastAsia="ko-KR"/>
        </w:rPr>
        <w:t xml:space="preserve"> REs</w:t>
      </w:r>
      <w:r w:rsidR="00C00989">
        <w:rPr>
          <w:rFonts w:ascii="Times New Roman" w:hAnsi="Times New Roman"/>
          <w:sz w:val="22"/>
          <w:szCs w:val="22"/>
          <w:lang w:eastAsia="ko-KR"/>
        </w:rPr>
        <w:t xml:space="preserve"> in the REGs on LTE CRS symbols</w:t>
      </w:r>
    </w:p>
    <w:p w:rsidR="004A3540" w:rsidRDefault="004A3540" w:rsidP="004A3540">
      <w:pPr>
        <w:pStyle w:val="ac"/>
        <w:spacing w:before="120" w:after="120" w:line="240" w:lineRule="auto"/>
        <w:ind w:leftChars="0" w:left="580" w:firstLine="0"/>
        <w:rPr>
          <w:rFonts w:ascii="Times New Roman" w:hAnsi="Times New Roman"/>
          <w:sz w:val="22"/>
          <w:szCs w:val="22"/>
          <w:lang w:eastAsia="ko-KR"/>
        </w:rPr>
      </w:pPr>
      <w:r>
        <w:rPr>
          <w:rFonts w:ascii="Times New Roman" w:hAnsi="Times New Roman"/>
          <w:sz w:val="22"/>
          <w:szCs w:val="22"/>
          <w:lang w:eastAsia="ko-KR"/>
        </w:rPr>
        <w:t>W</w:t>
      </w:r>
      <w:r>
        <w:rPr>
          <w:rFonts w:ascii="Times New Roman" w:hAnsi="Times New Roman" w:hint="eastAsia"/>
          <w:sz w:val="22"/>
          <w:szCs w:val="22"/>
          <w:lang w:eastAsia="ko-KR"/>
        </w:rPr>
        <w:t xml:space="preserve">ith </w:t>
      </w:r>
      <w:r>
        <w:rPr>
          <w:rFonts w:ascii="Times New Roman" w:hAnsi="Times New Roman"/>
          <w:sz w:val="22"/>
          <w:szCs w:val="22"/>
          <w:lang w:eastAsia="ko-KR"/>
        </w:rPr>
        <w:t xml:space="preserve">this Option 1, considering the coding rate/gain of NR PDCCH, the REGs on LTE CRS symbols can only consist of </w:t>
      </w:r>
      <w:r w:rsidR="00964B3E">
        <w:rPr>
          <w:rFonts w:ascii="Times New Roman" w:hAnsi="Times New Roman"/>
          <w:sz w:val="22"/>
          <w:szCs w:val="22"/>
          <w:lang w:eastAsia="ko-KR"/>
        </w:rPr>
        <w:t>control REs without DMRS REs. For example, the number of control REs per REG</w:t>
      </w:r>
      <w:r w:rsidR="00761FA2">
        <w:rPr>
          <w:rFonts w:ascii="Times New Roman" w:hAnsi="Times New Roman"/>
          <w:sz w:val="22"/>
          <w:szCs w:val="22"/>
          <w:lang w:eastAsia="ko-KR"/>
        </w:rPr>
        <w:t xml:space="preserve"> (on LTE CRS symbol)</w:t>
      </w:r>
      <w:r w:rsidR="00964B3E">
        <w:rPr>
          <w:rFonts w:ascii="Times New Roman" w:hAnsi="Times New Roman"/>
          <w:sz w:val="22"/>
          <w:szCs w:val="22"/>
          <w:lang w:eastAsia="ko-KR"/>
        </w:rPr>
        <w:t xml:space="preserve"> would be 10 </w:t>
      </w:r>
      <w:r w:rsidR="00162A4F">
        <w:rPr>
          <w:rFonts w:ascii="Times New Roman" w:hAnsi="Times New Roman"/>
          <w:sz w:val="22"/>
          <w:szCs w:val="22"/>
          <w:lang w:eastAsia="ko-KR"/>
        </w:rPr>
        <w:t xml:space="preserve">(for 1-port CRS) or 8 (for 2/4-port CRS). In this case, the CORESET </w:t>
      </w:r>
      <w:r w:rsidR="00162A4F">
        <w:rPr>
          <w:rFonts w:ascii="Times New Roman" w:hAnsi="Times New Roman"/>
          <w:sz w:val="22"/>
          <w:szCs w:val="22"/>
          <w:lang w:eastAsia="ko-KR"/>
        </w:rPr>
        <w:lastRenderedPageBreak/>
        <w:t>(or associated SS set) for NR PDCCH would need to include at least one symbol without CRS REs for the channel estimation on the REGs based on channel interpolation.</w:t>
      </w:r>
    </w:p>
    <w:p w:rsidR="004A3540" w:rsidRPr="00162A4F" w:rsidRDefault="004A3540" w:rsidP="004A3540">
      <w:pPr>
        <w:pStyle w:val="ac"/>
        <w:spacing w:before="120" w:after="120" w:line="240" w:lineRule="auto"/>
        <w:ind w:leftChars="0" w:left="580" w:firstLine="0"/>
        <w:rPr>
          <w:rFonts w:ascii="Times New Roman" w:hAnsi="Times New Roman"/>
          <w:sz w:val="22"/>
          <w:szCs w:val="22"/>
          <w:lang w:eastAsia="ko-KR"/>
        </w:rPr>
      </w:pPr>
    </w:p>
    <w:p w:rsidR="00FE0AEE" w:rsidRDefault="00FE0AEE" w:rsidP="00FE0AEE">
      <w:pPr>
        <w:pStyle w:val="ac"/>
        <w:numPr>
          <w:ilvl w:val="0"/>
          <w:numId w:val="10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Option 2: </w:t>
      </w:r>
      <w:r w:rsidR="00C00989">
        <w:rPr>
          <w:rFonts w:ascii="Times New Roman" w:hAnsi="Times New Roman"/>
          <w:sz w:val="22"/>
          <w:szCs w:val="22"/>
          <w:lang w:eastAsia="ko-KR"/>
        </w:rPr>
        <w:t xml:space="preserve">Keep </w:t>
      </w:r>
      <w:r w:rsidR="004A3540">
        <w:rPr>
          <w:rFonts w:ascii="Times New Roman" w:hAnsi="Times New Roman"/>
          <w:sz w:val="22"/>
          <w:szCs w:val="22"/>
          <w:lang w:eastAsia="ko-KR"/>
        </w:rPr>
        <w:t xml:space="preserve">same </w:t>
      </w:r>
      <w:r w:rsidR="00D20729">
        <w:rPr>
          <w:rFonts w:ascii="Times New Roman" w:hAnsi="Times New Roman"/>
          <w:sz w:val="22"/>
          <w:szCs w:val="22"/>
          <w:lang w:eastAsia="ko-KR"/>
        </w:rPr>
        <w:t xml:space="preserve">control/DMRS REs as in </w:t>
      </w:r>
      <w:r w:rsidR="00C00989">
        <w:rPr>
          <w:rFonts w:ascii="Times New Roman" w:hAnsi="Times New Roman"/>
          <w:sz w:val="22"/>
          <w:szCs w:val="22"/>
          <w:lang w:eastAsia="ko-KR"/>
        </w:rPr>
        <w:t>Rel-15</w:t>
      </w:r>
      <w:r w:rsidR="00C00989" w:rsidRPr="00C00989">
        <w:rPr>
          <w:rFonts w:ascii="Times New Roman" w:hAnsi="Times New Roman"/>
          <w:sz w:val="22"/>
          <w:szCs w:val="22"/>
          <w:lang w:eastAsia="ko-KR"/>
        </w:rPr>
        <w:t xml:space="preserve"> </w:t>
      </w:r>
      <w:r w:rsidR="00C00989">
        <w:rPr>
          <w:rFonts w:ascii="Times New Roman" w:hAnsi="Times New Roman"/>
          <w:sz w:val="22"/>
          <w:szCs w:val="22"/>
          <w:lang w:eastAsia="ko-KR"/>
        </w:rPr>
        <w:t>REG</w:t>
      </w:r>
    </w:p>
    <w:p w:rsidR="004A3540" w:rsidRDefault="00162A4F" w:rsidP="004A3540">
      <w:pPr>
        <w:pStyle w:val="ac"/>
        <w:spacing w:before="120" w:after="120" w:line="240" w:lineRule="auto"/>
        <w:ind w:leftChars="0" w:left="580" w:firstLine="0"/>
        <w:rPr>
          <w:rFonts w:ascii="Times New Roman" w:hAnsi="Times New Roman"/>
          <w:sz w:val="22"/>
          <w:szCs w:val="22"/>
          <w:lang w:eastAsia="ko-KR"/>
        </w:rPr>
      </w:pPr>
      <w:r>
        <w:rPr>
          <w:rFonts w:ascii="Times New Roman" w:hAnsi="Times New Roman"/>
          <w:sz w:val="22"/>
          <w:szCs w:val="22"/>
          <w:lang w:eastAsia="ko-KR"/>
        </w:rPr>
        <w:t>W</w:t>
      </w:r>
      <w:r>
        <w:rPr>
          <w:rFonts w:ascii="Times New Roman" w:hAnsi="Times New Roman" w:hint="eastAsia"/>
          <w:sz w:val="22"/>
          <w:szCs w:val="22"/>
          <w:lang w:eastAsia="ko-KR"/>
        </w:rPr>
        <w:t xml:space="preserve">ith </w:t>
      </w:r>
      <w:r>
        <w:rPr>
          <w:rFonts w:ascii="Times New Roman" w:hAnsi="Times New Roman"/>
          <w:sz w:val="22"/>
          <w:szCs w:val="22"/>
          <w:lang w:eastAsia="ko-KR"/>
        </w:rPr>
        <w:t xml:space="preserve">this </w:t>
      </w:r>
      <w:r w:rsidR="00112B74">
        <w:rPr>
          <w:rFonts w:ascii="Times New Roman" w:hAnsi="Times New Roman"/>
          <w:sz w:val="22"/>
          <w:szCs w:val="22"/>
          <w:lang w:eastAsia="ko-KR"/>
        </w:rPr>
        <w:t>O</w:t>
      </w:r>
      <w:r>
        <w:rPr>
          <w:rFonts w:ascii="Times New Roman" w:hAnsi="Times New Roman"/>
          <w:sz w:val="22"/>
          <w:szCs w:val="22"/>
          <w:lang w:eastAsia="ko-KR"/>
        </w:rPr>
        <w:t xml:space="preserve">ption 2, keeping same location of control/DMRS REs as in Rel-15, part of the control/DMRS REs in the REGs (on LTE CRS symbols) would be punctured by CRS REs. For </w:t>
      </w:r>
      <w:r w:rsidR="00112B74">
        <w:rPr>
          <w:rFonts w:ascii="Times New Roman" w:hAnsi="Times New Roman"/>
          <w:sz w:val="22"/>
          <w:szCs w:val="22"/>
          <w:lang w:eastAsia="ko-KR"/>
        </w:rPr>
        <w:t xml:space="preserve">example, </w:t>
      </w:r>
      <w:r>
        <w:rPr>
          <w:rFonts w:ascii="Times New Roman" w:hAnsi="Times New Roman"/>
          <w:sz w:val="22"/>
          <w:szCs w:val="22"/>
          <w:lang w:eastAsia="ko-KR"/>
        </w:rPr>
        <w:t xml:space="preserve">2 </w:t>
      </w:r>
      <w:r w:rsidR="008657E1">
        <w:rPr>
          <w:rFonts w:ascii="Times New Roman" w:hAnsi="Times New Roman"/>
          <w:sz w:val="22"/>
          <w:szCs w:val="22"/>
          <w:lang w:eastAsia="ko-KR"/>
        </w:rPr>
        <w:t>control</w:t>
      </w:r>
      <w:r w:rsidR="008657E1">
        <w:rPr>
          <w:rFonts w:ascii="Times New Roman" w:hAnsi="Times New Roman"/>
          <w:sz w:val="22"/>
          <w:szCs w:val="22"/>
          <w:lang w:eastAsia="ko-KR"/>
        </w:rPr>
        <w:t xml:space="preserve"> </w:t>
      </w:r>
      <w:r>
        <w:rPr>
          <w:rFonts w:ascii="Times New Roman" w:hAnsi="Times New Roman"/>
          <w:sz w:val="22"/>
          <w:szCs w:val="22"/>
          <w:lang w:eastAsia="ko-KR"/>
        </w:rPr>
        <w:t>REs</w:t>
      </w:r>
      <w:r w:rsidR="00112B74">
        <w:rPr>
          <w:rFonts w:ascii="Times New Roman" w:hAnsi="Times New Roman"/>
          <w:sz w:val="22"/>
          <w:szCs w:val="22"/>
          <w:lang w:eastAsia="ko-KR"/>
        </w:rPr>
        <w:t xml:space="preserve"> or {1 control RE + 1 DMRS RE} can be punctured</w:t>
      </w:r>
      <w:r w:rsidR="00E4721D">
        <w:rPr>
          <w:rFonts w:ascii="Times New Roman" w:hAnsi="Times New Roman"/>
          <w:sz w:val="22"/>
          <w:szCs w:val="22"/>
          <w:lang w:eastAsia="ko-KR"/>
        </w:rPr>
        <w:t xml:space="preserve"> per REG</w:t>
      </w:r>
      <w:r w:rsidR="00112B74">
        <w:rPr>
          <w:rFonts w:ascii="Times New Roman" w:hAnsi="Times New Roman"/>
          <w:sz w:val="22"/>
          <w:szCs w:val="22"/>
          <w:lang w:eastAsia="ko-KR"/>
        </w:rPr>
        <w:t xml:space="preserve"> by 1-port CRS, </w:t>
      </w:r>
      <w:r w:rsidR="00E4721D">
        <w:rPr>
          <w:rFonts w:ascii="Times New Roman" w:hAnsi="Times New Roman"/>
          <w:sz w:val="22"/>
          <w:szCs w:val="22"/>
          <w:lang w:eastAsia="ko-KR"/>
        </w:rPr>
        <w:t>or</w:t>
      </w:r>
      <w:r w:rsidR="00112B74">
        <w:rPr>
          <w:rFonts w:ascii="Times New Roman" w:hAnsi="Times New Roman"/>
          <w:sz w:val="22"/>
          <w:szCs w:val="22"/>
          <w:lang w:eastAsia="ko-KR"/>
        </w:rPr>
        <w:t xml:space="preserve"> {3 control REs + 1 DMRS RE} are punctured </w:t>
      </w:r>
      <w:r w:rsidR="00E4721D">
        <w:rPr>
          <w:rFonts w:ascii="Times New Roman" w:hAnsi="Times New Roman"/>
          <w:sz w:val="22"/>
          <w:szCs w:val="22"/>
          <w:lang w:eastAsia="ko-KR"/>
        </w:rPr>
        <w:t xml:space="preserve">per REG </w:t>
      </w:r>
      <w:r w:rsidR="00112B74">
        <w:rPr>
          <w:rFonts w:ascii="Times New Roman" w:hAnsi="Times New Roman"/>
          <w:sz w:val="22"/>
          <w:szCs w:val="22"/>
          <w:lang w:eastAsia="ko-KR"/>
        </w:rPr>
        <w:t>by 2/4-port CRS. In this case, the performance (in terms of coding rate/gain) of NR PDCCH might be degraded for a given CCE aggregation level.</w:t>
      </w:r>
      <w:bookmarkStart w:id="3" w:name="_GoBack"/>
      <w:bookmarkEnd w:id="3"/>
    </w:p>
    <w:p w:rsidR="004A3540" w:rsidRDefault="004A3540" w:rsidP="004A3540">
      <w:pPr>
        <w:pStyle w:val="ac"/>
        <w:spacing w:before="120" w:after="120" w:line="240" w:lineRule="auto"/>
        <w:ind w:leftChars="0" w:left="580" w:firstLine="0"/>
        <w:rPr>
          <w:rFonts w:ascii="Times New Roman" w:hAnsi="Times New Roman"/>
          <w:sz w:val="22"/>
          <w:szCs w:val="22"/>
          <w:lang w:eastAsia="ko-KR"/>
        </w:rPr>
      </w:pPr>
    </w:p>
    <w:p w:rsidR="00FE0AEE" w:rsidRDefault="00FE0AEE" w:rsidP="00FE0AEE">
      <w:pPr>
        <w:pStyle w:val="ac"/>
        <w:numPr>
          <w:ilvl w:val="0"/>
          <w:numId w:val="100"/>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Option 3: </w:t>
      </w:r>
      <w:r w:rsidR="00D20729">
        <w:rPr>
          <w:rFonts w:ascii="Times New Roman" w:hAnsi="Times New Roman"/>
          <w:sz w:val="22"/>
          <w:szCs w:val="22"/>
          <w:lang w:eastAsia="ko-KR"/>
        </w:rPr>
        <w:t xml:space="preserve">Change </w:t>
      </w:r>
      <w:r w:rsidR="004A3540">
        <w:rPr>
          <w:rFonts w:ascii="Times New Roman" w:hAnsi="Times New Roman"/>
          <w:sz w:val="22"/>
          <w:szCs w:val="22"/>
          <w:lang w:eastAsia="ko-KR"/>
        </w:rPr>
        <w:t xml:space="preserve">the interval between </w:t>
      </w:r>
      <w:r w:rsidR="00D20729">
        <w:rPr>
          <w:rFonts w:ascii="Times New Roman" w:hAnsi="Times New Roman"/>
          <w:sz w:val="22"/>
          <w:szCs w:val="22"/>
          <w:lang w:eastAsia="ko-KR"/>
        </w:rPr>
        <w:t>DMRS REs</w:t>
      </w:r>
      <w:r w:rsidR="004A3540">
        <w:rPr>
          <w:rFonts w:ascii="Times New Roman" w:hAnsi="Times New Roman"/>
          <w:sz w:val="22"/>
          <w:szCs w:val="22"/>
          <w:lang w:eastAsia="ko-KR"/>
        </w:rPr>
        <w:t xml:space="preserve"> in the REGs </w:t>
      </w:r>
    </w:p>
    <w:p w:rsidR="004A3540" w:rsidRDefault="00112B74" w:rsidP="004A3540">
      <w:pPr>
        <w:pStyle w:val="ac"/>
        <w:spacing w:before="120" w:after="120" w:line="240" w:lineRule="auto"/>
        <w:ind w:leftChars="0" w:left="580" w:firstLine="0"/>
        <w:rPr>
          <w:rFonts w:ascii="Times New Roman" w:hAnsi="Times New Roman"/>
          <w:sz w:val="22"/>
          <w:szCs w:val="22"/>
          <w:lang w:eastAsia="ko-KR"/>
        </w:rPr>
      </w:pPr>
      <w:r>
        <w:rPr>
          <w:rFonts w:ascii="Times New Roman" w:hAnsi="Times New Roman"/>
          <w:sz w:val="22"/>
          <w:szCs w:val="22"/>
          <w:lang w:eastAsia="ko-KR"/>
        </w:rPr>
        <w:t>W</w:t>
      </w:r>
      <w:r>
        <w:rPr>
          <w:rFonts w:ascii="Times New Roman" w:hAnsi="Times New Roman" w:hint="eastAsia"/>
          <w:sz w:val="22"/>
          <w:szCs w:val="22"/>
          <w:lang w:eastAsia="ko-KR"/>
        </w:rPr>
        <w:t xml:space="preserve">ith </w:t>
      </w:r>
      <w:r>
        <w:rPr>
          <w:rFonts w:ascii="Times New Roman" w:hAnsi="Times New Roman"/>
          <w:sz w:val="22"/>
          <w:szCs w:val="22"/>
          <w:lang w:eastAsia="ko-KR"/>
        </w:rPr>
        <w:t xml:space="preserve">this Option 3, </w:t>
      </w:r>
      <w:r w:rsidR="00E90885">
        <w:rPr>
          <w:rFonts w:ascii="Times New Roman" w:hAnsi="Times New Roman"/>
          <w:sz w:val="22"/>
          <w:szCs w:val="22"/>
          <w:lang w:eastAsia="ko-KR"/>
        </w:rPr>
        <w:t xml:space="preserve">for avoiding the collision between LTE CRS RE and DMRS RE (with V-shift), </w:t>
      </w:r>
      <w:r>
        <w:rPr>
          <w:rFonts w:ascii="Times New Roman" w:hAnsi="Times New Roman"/>
          <w:sz w:val="22"/>
          <w:szCs w:val="22"/>
          <w:lang w:eastAsia="ko-KR"/>
        </w:rPr>
        <w:t>the interval between adjacent DMRS REs in the REGs (on LTE CRS symbols) can be changed to 6 REs</w:t>
      </w:r>
      <w:r w:rsidR="00CE631C">
        <w:rPr>
          <w:rFonts w:ascii="Times New Roman" w:hAnsi="Times New Roman"/>
          <w:sz w:val="22"/>
          <w:szCs w:val="22"/>
          <w:lang w:eastAsia="ko-KR"/>
        </w:rPr>
        <w:t xml:space="preserve"> (or 3 REs)</w:t>
      </w:r>
      <w:r w:rsidR="00E90885">
        <w:rPr>
          <w:rFonts w:ascii="Times New Roman" w:hAnsi="Times New Roman"/>
          <w:sz w:val="22"/>
          <w:szCs w:val="22"/>
          <w:lang w:eastAsia="ko-KR"/>
        </w:rPr>
        <w:t xml:space="preserve"> as a multiple of CRS RE interval. For example, </w:t>
      </w:r>
      <w:r w:rsidR="00BB4D69">
        <w:rPr>
          <w:rFonts w:ascii="Times New Roman" w:hAnsi="Times New Roman"/>
          <w:sz w:val="22"/>
          <w:szCs w:val="22"/>
          <w:lang w:eastAsia="ko-KR"/>
        </w:rPr>
        <w:t xml:space="preserve">with the interval of 6 REs, </w:t>
      </w:r>
      <w:r w:rsidR="00E4721D">
        <w:rPr>
          <w:rFonts w:ascii="Times New Roman" w:hAnsi="Times New Roman"/>
          <w:sz w:val="22"/>
          <w:szCs w:val="22"/>
          <w:lang w:eastAsia="ko-KR"/>
        </w:rPr>
        <w:t>a REG can consist of {2 DMRS REs + 8 control REs} for 1-port CRS or {2 DMRS REs + 6 control REs} for 2/4-port CRS. In this case, the channel estimation performance for NR PDCCH reception could be guaranteed.</w:t>
      </w:r>
    </w:p>
    <w:p w:rsidR="004A3540" w:rsidRPr="00E4721D" w:rsidRDefault="004A3540" w:rsidP="004A3540">
      <w:pPr>
        <w:pStyle w:val="ac"/>
        <w:spacing w:before="120" w:after="120" w:line="240" w:lineRule="auto"/>
        <w:ind w:leftChars="0" w:left="580" w:firstLine="0"/>
        <w:rPr>
          <w:rFonts w:ascii="Times New Roman" w:hAnsi="Times New Roman"/>
          <w:sz w:val="22"/>
          <w:szCs w:val="22"/>
          <w:lang w:eastAsia="ko-KR"/>
        </w:rPr>
      </w:pPr>
    </w:p>
    <w:p w:rsidR="00761FA2" w:rsidRDefault="00761FA2" w:rsidP="00761FA2">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sidR="00DB1B26">
        <w:rPr>
          <w:rFonts w:eastAsia="바탕"/>
          <w:b/>
          <w:sz w:val="22"/>
          <w:szCs w:val="22"/>
          <w:lang w:eastAsia="ko-KR"/>
        </w:rPr>
        <w:t>1</w:t>
      </w:r>
      <w:r w:rsidRPr="00AA75DC">
        <w:rPr>
          <w:rFonts w:eastAsia="바탕"/>
          <w:b/>
          <w:sz w:val="22"/>
          <w:szCs w:val="22"/>
          <w:lang w:eastAsia="ko-KR"/>
        </w:rPr>
        <w:t xml:space="preserve">: </w:t>
      </w:r>
      <w:r w:rsidR="00DB1B26">
        <w:rPr>
          <w:rFonts w:eastAsia="바탕"/>
          <w:b/>
          <w:sz w:val="22"/>
          <w:szCs w:val="22"/>
          <w:lang w:eastAsia="ko-KR"/>
        </w:rPr>
        <w:t>D</w:t>
      </w:r>
      <w:r w:rsidR="00DB1B26" w:rsidRPr="00DB1B26">
        <w:rPr>
          <w:rFonts w:eastAsia="바탕"/>
          <w:b/>
          <w:sz w:val="22"/>
          <w:szCs w:val="22"/>
          <w:lang w:eastAsia="ko-KR"/>
        </w:rPr>
        <w:t>iscuss how to composite the REGs for NR PDCCH</w:t>
      </w:r>
      <w:r w:rsidR="00DB1B26">
        <w:rPr>
          <w:rFonts w:eastAsia="바탕"/>
          <w:b/>
          <w:sz w:val="22"/>
          <w:szCs w:val="22"/>
          <w:lang w:eastAsia="ko-KR"/>
        </w:rPr>
        <w:t xml:space="preserve"> in</w:t>
      </w:r>
      <w:r w:rsidR="00DB1B26" w:rsidRPr="00DB1B26">
        <w:rPr>
          <w:rFonts w:eastAsia="바탕"/>
          <w:b/>
          <w:sz w:val="22"/>
          <w:szCs w:val="22"/>
          <w:lang w:eastAsia="ko-KR"/>
        </w:rPr>
        <w:t xml:space="preserve"> LTE CRS symbols</w:t>
      </w:r>
      <w:r w:rsidR="00DB1B26">
        <w:rPr>
          <w:rFonts w:eastAsia="바탕"/>
          <w:b/>
          <w:sz w:val="22"/>
          <w:szCs w:val="22"/>
          <w:lang w:eastAsia="ko-KR"/>
        </w:rPr>
        <w:t>, based on the following three options with consideration for the channel estimation/coding performance of the NR PDCCH reception.</w:t>
      </w:r>
    </w:p>
    <w:p w:rsidR="00DB1B26" w:rsidRPr="00DB1B26" w:rsidRDefault="00DB1B26" w:rsidP="00DB1B26">
      <w:pPr>
        <w:pStyle w:val="ac"/>
        <w:numPr>
          <w:ilvl w:val="0"/>
          <w:numId w:val="100"/>
        </w:numPr>
        <w:spacing w:before="120" w:after="120" w:line="240" w:lineRule="auto"/>
        <w:ind w:leftChars="0"/>
        <w:rPr>
          <w:rFonts w:ascii="Times New Roman" w:hAnsi="Times New Roman"/>
          <w:b/>
          <w:sz w:val="22"/>
          <w:szCs w:val="22"/>
          <w:lang w:eastAsia="ko-KR"/>
        </w:rPr>
      </w:pPr>
      <w:r w:rsidRPr="00DB1B26">
        <w:rPr>
          <w:rFonts w:ascii="Times New Roman" w:hAnsi="Times New Roman" w:hint="eastAsia"/>
          <w:b/>
          <w:sz w:val="22"/>
          <w:szCs w:val="22"/>
          <w:lang w:eastAsia="ko-KR"/>
        </w:rPr>
        <w:t xml:space="preserve">Option 1: </w:t>
      </w:r>
      <w:r w:rsidRPr="00DB1B26">
        <w:rPr>
          <w:rFonts w:ascii="Times New Roman" w:hAnsi="Times New Roman"/>
          <w:b/>
          <w:sz w:val="22"/>
          <w:szCs w:val="22"/>
          <w:lang w:eastAsia="ko-KR"/>
        </w:rPr>
        <w:t>No DMRS REs in the REGs on LTE CRS symbols</w:t>
      </w:r>
    </w:p>
    <w:p w:rsidR="00DB1B26" w:rsidRPr="00DB1B26" w:rsidRDefault="00DB1B26" w:rsidP="00DB1B26">
      <w:pPr>
        <w:pStyle w:val="ac"/>
        <w:numPr>
          <w:ilvl w:val="0"/>
          <w:numId w:val="100"/>
        </w:numPr>
        <w:spacing w:before="120" w:after="120" w:line="240" w:lineRule="auto"/>
        <w:ind w:leftChars="0"/>
        <w:rPr>
          <w:rFonts w:ascii="Times New Roman" w:hAnsi="Times New Roman"/>
          <w:b/>
          <w:sz w:val="22"/>
          <w:szCs w:val="22"/>
          <w:lang w:eastAsia="ko-KR"/>
        </w:rPr>
      </w:pPr>
      <w:r w:rsidRPr="00DB1B26">
        <w:rPr>
          <w:rFonts w:ascii="Times New Roman" w:hAnsi="Times New Roman"/>
          <w:b/>
          <w:sz w:val="22"/>
          <w:szCs w:val="22"/>
          <w:lang w:eastAsia="ko-KR"/>
        </w:rPr>
        <w:t>Option 2: Keep same control/DMRS REs as in Rel-15 REG</w:t>
      </w:r>
    </w:p>
    <w:p w:rsidR="00DB1B26" w:rsidRPr="00DB1B26" w:rsidRDefault="00DB1B26" w:rsidP="00DB1B26">
      <w:pPr>
        <w:pStyle w:val="ac"/>
        <w:numPr>
          <w:ilvl w:val="0"/>
          <w:numId w:val="100"/>
        </w:numPr>
        <w:spacing w:before="120" w:after="120" w:line="240" w:lineRule="auto"/>
        <w:ind w:leftChars="0"/>
        <w:rPr>
          <w:rFonts w:ascii="Times New Roman" w:hAnsi="Times New Roman"/>
          <w:b/>
          <w:sz w:val="22"/>
          <w:szCs w:val="22"/>
          <w:lang w:eastAsia="ko-KR"/>
        </w:rPr>
      </w:pPr>
      <w:r w:rsidRPr="00DB1B26">
        <w:rPr>
          <w:rFonts w:ascii="Times New Roman" w:hAnsi="Times New Roman"/>
          <w:b/>
          <w:sz w:val="22"/>
          <w:szCs w:val="22"/>
          <w:lang w:eastAsia="ko-KR"/>
        </w:rPr>
        <w:t xml:space="preserve">Option 3: Change the interval between DMRS REs in the REGs </w:t>
      </w:r>
    </w:p>
    <w:p w:rsidR="001E3CFA" w:rsidRPr="00DB1B26" w:rsidRDefault="00761FA2" w:rsidP="00CF2492">
      <w:pPr>
        <w:pStyle w:val="ac"/>
        <w:numPr>
          <w:ilvl w:val="0"/>
          <w:numId w:val="97"/>
        </w:numPr>
        <w:spacing w:before="120" w:after="120" w:line="240" w:lineRule="auto"/>
        <w:ind w:leftChars="0" w:left="0" w:firstLineChars="100" w:firstLine="216"/>
        <w:rPr>
          <w:sz w:val="22"/>
          <w:szCs w:val="22"/>
          <w:lang w:eastAsia="ko-KR"/>
        </w:rPr>
      </w:pPr>
      <w:r w:rsidRPr="00DB1B26">
        <w:rPr>
          <w:rFonts w:ascii="Times New Roman" w:hAnsi="Times New Roman"/>
          <w:b/>
          <w:sz w:val="22"/>
          <w:szCs w:val="22"/>
          <w:lang w:eastAsia="ko-KR"/>
        </w:rPr>
        <w:t xml:space="preserve"> </w:t>
      </w:r>
    </w:p>
    <w:p w:rsidR="0030173D" w:rsidRDefault="00761FA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Even </w:t>
      </w:r>
      <w:r w:rsidR="00D153A0">
        <w:rPr>
          <w:rFonts w:eastAsia="바탕"/>
          <w:sz w:val="22"/>
          <w:szCs w:val="22"/>
          <w:lang w:eastAsia="ko-KR"/>
        </w:rPr>
        <w:t>in case of NR PDCCH transmission</w:t>
      </w:r>
      <w:r>
        <w:rPr>
          <w:rFonts w:eastAsia="바탕"/>
          <w:sz w:val="22"/>
          <w:szCs w:val="22"/>
          <w:lang w:eastAsia="ko-KR"/>
        </w:rPr>
        <w:t xml:space="preserve"> on LTE CRS symbols based on the </w:t>
      </w:r>
      <w:r w:rsidR="00D153A0">
        <w:rPr>
          <w:rFonts w:eastAsia="바탕"/>
          <w:sz w:val="22"/>
          <w:szCs w:val="22"/>
          <w:lang w:eastAsia="ko-KR"/>
        </w:rPr>
        <w:t>options in above, considering the interference from LTE signal transmission to NR PDCCH reception</w:t>
      </w:r>
      <w:r w:rsidR="00DB1B26">
        <w:rPr>
          <w:rFonts w:eastAsia="바탕"/>
          <w:sz w:val="22"/>
          <w:szCs w:val="22"/>
          <w:lang w:eastAsia="ko-KR"/>
        </w:rPr>
        <w:t xml:space="preserve"> and/or potential impact to channel estimation/coding performance as observed in above</w:t>
      </w:r>
      <w:r w:rsidR="00D153A0">
        <w:rPr>
          <w:rFonts w:eastAsia="바탕"/>
          <w:sz w:val="22"/>
          <w:szCs w:val="22"/>
          <w:lang w:eastAsia="ko-KR"/>
        </w:rPr>
        <w:t>, it might need some validation of NR PDCCH candidate based on the ratio of overlapping with LTE CRS. Besides, in the similar context, the SS set for NR PDCCH overlapping with LTE CRS</w:t>
      </w:r>
      <w:r w:rsidR="00DB1B26">
        <w:rPr>
          <w:rFonts w:eastAsia="바탕"/>
          <w:sz w:val="22"/>
          <w:szCs w:val="22"/>
          <w:lang w:eastAsia="ko-KR"/>
        </w:rPr>
        <w:t xml:space="preserve"> can be treated as lower priority than other SS sets</w:t>
      </w:r>
      <w:r w:rsidR="00D153A0">
        <w:rPr>
          <w:rFonts w:eastAsia="바탕"/>
          <w:sz w:val="22"/>
          <w:szCs w:val="22"/>
          <w:lang w:eastAsia="ko-KR"/>
        </w:rPr>
        <w:t>.</w:t>
      </w:r>
    </w:p>
    <w:p w:rsidR="008841C7" w:rsidRPr="009105B1" w:rsidRDefault="008841C7" w:rsidP="008841C7">
      <w:pPr>
        <w:pStyle w:val="proposal"/>
        <w:rPr>
          <w:lang w:val="x-none"/>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F736CE" w:rsidRDefault="0052000E" w:rsidP="00270818">
      <w:pPr>
        <w:spacing w:before="120" w:after="120" w:line="240" w:lineRule="auto"/>
        <w:ind w:left="0" w:firstLineChars="100" w:firstLine="220"/>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C45889">
        <w:rPr>
          <w:rFonts w:eastAsia="바탕"/>
          <w:bCs/>
          <w:sz w:val="22"/>
          <w:szCs w:val="22"/>
          <w:lang w:val="en-US" w:eastAsia="ko-KR"/>
        </w:rPr>
        <w:t>consideration points</w:t>
      </w:r>
      <w:r w:rsidR="0030173D">
        <w:rPr>
          <w:rFonts w:eastAsia="바탕"/>
          <w:bCs/>
          <w:sz w:val="22"/>
          <w:szCs w:val="22"/>
          <w:lang w:val="en-US" w:eastAsia="ko-KR"/>
        </w:rPr>
        <w:t xml:space="preserve"> for </w:t>
      </w:r>
      <w:r w:rsidR="00C45889">
        <w:rPr>
          <w:rFonts w:eastAsia="바탕"/>
          <w:bCs/>
          <w:sz w:val="22"/>
          <w:szCs w:val="22"/>
          <w:lang w:val="en-US" w:eastAsia="ko-KR"/>
        </w:rPr>
        <w:t xml:space="preserve">NR PDCCH reception in symbols with LTE CRS REs </w:t>
      </w:r>
      <w:r w:rsidR="0030173D">
        <w:rPr>
          <w:rFonts w:eastAsia="바탕"/>
          <w:bCs/>
          <w:sz w:val="22"/>
          <w:szCs w:val="22"/>
          <w:lang w:val="en-US" w:eastAsia="ko-KR"/>
        </w:rPr>
        <w:t>were 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rsidR="00A02310" w:rsidRDefault="00A02310" w:rsidP="00413DF8">
      <w:pPr>
        <w:spacing w:before="120" w:after="120" w:line="240" w:lineRule="auto"/>
        <w:ind w:left="284" w:hangingChars="129"/>
        <w:rPr>
          <w:rFonts w:eastAsia="바탕"/>
          <w:sz w:val="22"/>
          <w:szCs w:val="22"/>
          <w:lang w:eastAsia="ko-KR"/>
        </w:rPr>
      </w:pPr>
    </w:p>
    <w:p w:rsidR="00DB1B26" w:rsidRDefault="00DB1B26" w:rsidP="00DB1B26">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w:t>
      </w:r>
      <w:r w:rsidRPr="00AA75DC">
        <w:rPr>
          <w:rFonts w:eastAsia="바탕"/>
          <w:b/>
          <w:sz w:val="22"/>
          <w:szCs w:val="22"/>
          <w:lang w:eastAsia="ko-KR"/>
        </w:rPr>
        <w:t xml:space="preserve">: </w:t>
      </w:r>
      <w:r>
        <w:rPr>
          <w:rFonts w:eastAsia="바탕"/>
          <w:b/>
          <w:sz w:val="22"/>
          <w:szCs w:val="22"/>
          <w:lang w:eastAsia="ko-KR"/>
        </w:rPr>
        <w:t>D</w:t>
      </w:r>
      <w:r w:rsidRPr="00DB1B26">
        <w:rPr>
          <w:rFonts w:eastAsia="바탕"/>
          <w:b/>
          <w:sz w:val="22"/>
          <w:szCs w:val="22"/>
          <w:lang w:eastAsia="ko-KR"/>
        </w:rPr>
        <w:t>iscuss how to composite the REGs for NR PDCCH</w:t>
      </w:r>
      <w:r>
        <w:rPr>
          <w:rFonts w:eastAsia="바탕"/>
          <w:b/>
          <w:sz w:val="22"/>
          <w:szCs w:val="22"/>
          <w:lang w:eastAsia="ko-KR"/>
        </w:rPr>
        <w:t xml:space="preserve"> in</w:t>
      </w:r>
      <w:r w:rsidRPr="00DB1B26">
        <w:rPr>
          <w:rFonts w:eastAsia="바탕"/>
          <w:b/>
          <w:sz w:val="22"/>
          <w:szCs w:val="22"/>
          <w:lang w:eastAsia="ko-KR"/>
        </w:rPr>
        <w:t xml:space="preserve"> LTE CRS symbols</w:t>
      </w:r>
      <w:r>
        <w:rPr>
          <w:rFonts w:eastAsia="바탕"/>
          <w:b/>
          <w:sz w:val="22"/>
          <w:szCs w:val="22"/>
          <w:lang w:eastAsia="ko-KR"/>
        </w:rPr>
        <w:t>, based on the following three options with consideration for the channel estimation/coding performance of the NR PDCCH reception.</w:t>
      </w:r>
    </w:p>
    <w:p w:rsidR="00DB1B26" w:rsidRPr="00DB1B26" w:rsidRDefault="00DB1B26" w:rsidP="00DB1B26">
      <w:pPr>
        <w:pStyle w:val="ac"/>
        <w:numPr>
          <w:ilvl w:val="0"/>
          <w:numId w:val="100"/>
        </w:numPr>
        <w:spacing w:before="120" w:after="120" w:line="240" w:lineRule="auto"/>
        <w:ind w:leftChars="0"/>
        <w:rPr>
          <w:rFonts w:ascii="Times New Roman" w:hAnsi="Times New Roman"/>
          <w:b/>
          <w:sz w:val="22"/>
          <w:szCs w:val="22"/>
          <w:lang w:eastAsia="ko-KR"/>
        </w:rPr>
      </w:pPr>
      <w:r w:rsidRPr="00DB1B26">
        <w:rPr>
          <w:rFonts w:ascii="Times New Roman" w:hAnsi="Times New Roman" w:hint="eastAsia"/>
          <w:b/>
          <w:sz w:val="22"/>
          <w:szCs w:val="22"/>
          <w:lang w:eastAsia="ko-KR"/>
        </w:rPr>
        <w:t xml:space="preserve">Option 1: </w:t>
      </w:r>
      <w:r w:rsidRPr="00DB1B26">
        <w:rPr>
          <w:rFonts w:ascii="Times New Roman" w:hAnsi="Times New Roman"/>
          <w:b/>
          <w:sz w:val="22"/>
          <w:szCs w:val="22"/>
          <w:lang w:eastAsia="ko-KR"/>
        </w:rPr>
        <w:t>No DMRS REs in the REGs on LTE CRS symbols</w:t>
      </w:r>
    </w:p>
    <w:p w:rsidR="00DB1B26" w:rsidRPr="00DB1B26" w:rsidRDefault="00DB1B26" w:rsidP="00DB1B26">
      <w:pPr>
        <w:pStyle w:val="ac"/>
        <w:numPr>
          <w:ilvl w:val="0"/>
          <w:numId w:val="100"/>
        </w:numPr>
        <w:spacing w:before="120" w:after="120" w:line="240" w:lineRule="auto"/>
        <w:ind w:leftChars="0"/>
        <w:rPr>
          <w:rFonts w:ascii="Times New Roman" w:hAnsi="Times New Roman"/>
          <w:b/>
          <w:sz w:val="22"/>
          <w:szCs w:val="22"/>
          <w:lang w:eastAsia="ko-KR"/>
        </w:rPr>
      </w:pPr>
      <w:r w:rsidRPr="00DB1B26">
        <w:rPr>
          <w:rFonts w:ascii="Times New Roman" w:hAnsi="Times New Roman"/>
          <w:b/>
          <w:sz w:val="22"/>
          <w:szCs w:val="22"/>
          <w:lang w:eastAsia="ko-KR"/>
        </w:rPr>
        <w:t>Option 2: Keep same control/DMRS REs as in Rel-15 REG</w:t>
      </w:r>
    </w:p>
    <w:p w:rsidR="00DB1B26" w:rsidRPr="00DB1B26" w:rsidRDefault="00DB1B26" w:rsidP="00DB1B26">
      <w:pPr>
        <w:pStyle w:val="ac"/>
        <w:numPr>
          <w:ilvl w:val="0"/>
          <w:numId w:val="100"/>
        </w:numPr>
        <w:spacing w:before="120" w:after="120" w:line="240" w:lineRule="auto"/>
        <w:ind w:leftChars="0"/>
        <w:rPr>
          <w:rFonts w:ascii="Times New Roman" w:hAnsi="Times New Roman"/>
          <w:b/>
          <w:sz w:val="22"/>
          <w:szCs w:val="22"/>
          <w:lang w:eastAsia="ko-KR"/>
        </w:rPr>
      </w:pPr>
      <w:r w:rsidRPr="00DB1B26">
        <w:rPr>
          <w:rFonts w:ascii="Times New Roman" w:hAnsi="Times New Roman"/>
          <w:b/>
          <w:sz w:val="22"/>
          <w:szCs w:val="22"/>
          <w:lang w:eastAsia="ko-KR"/>
        </w:rPr>
        <w:t xml:space="preserve">Option 3: Change the interval between DMRS REs in the REGs </w:t>
      </w:r>
    </w:p>
    <w:p w:rsidR="00B35F84" w:rsidRPr="00953893" w:rsidRDefault="00B35F84" w:rsidP="00FD1517">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BC1E18" w:rsidRDefault="00C45889" w:rsidP="00926D72">
      <w:pPr>
        <w:pStyle w:val="References"/>
        <w:rPr>
          <w:rFonts w:eastAsia="맑은 고딕"/>
          <w:szCs w:val="22"/>
          <w:lang w:eastAsia="ko-KR"/>
        </w:rPr>
      </w:pPr>
      <w:r w:rsidRPr="00C45BCE">
        <w:rPr>
          <w:rFonts w:eastAsia="맑은 고딕"/>
          <w:szCs w:val="22"/>
          <w:lang w:eastAsia="ko-KR"/>
        </w:rPr>
        <w:t>RP-213575</w:t>
      </w:r>
      <w:r w:rsidR="0030173D">
        <w:rPr>
          <w:rFonts w:eastAsia="맑은 고딕"/>
          <w:szCs w:val="22"/>
          <w:lang w:eastAsia="ko-KR"/>
        </w:rPr>
        <w:t>, “</w:t>
      </w:r>
      <w:r w:rsidRPr="00C45BCE">
        <w:rPr>
          <w:rFonts w:eastAsia="맑은 고딕"/>
          <w:szCs w:val="22"/>
          <w:lang w:eastAsia="ko-KR"/>
        </w:rPr>
        <w:t>New WI: Enhancement of NR Dynamic spectrum sharing (DSS)</w:t>
      </w:r>
      <w:r w:rsidR="00837520" w:rsidRPr="00BC1E18">
        <w:rPr>
          <w:rFonts w:eastAsia="맑은 고딕"/>
          <w:szCs w:val="22"/>
          <w:lang w:eastAsia="ko-KR"/>
        </w:rPr>
        <w:t>”</w:t>
      </w:r>
      <w:r w:rsidR="00837520">
        <w:rPr>
          <w:rFonts w:eastAsia="맑은 고딕"/>
          <w:szCs w:val="22"/>
          <w:lang w:eastAsia="ko-KR"/>
        </w:rPr>
        <w:t xml:space="preserve">, </w:t>
      </w:r>
      <w:r w:rsidRPr="00C45BCE">
        <w:rPr>
          <w:rFonts w:eastAsia="맑은 고딕"/>
          <w:szCs w:val="22"/>
          <w:lang w:eastAsia="ko-KR"/>
        </w:rPr>
        <w:t>Ericsson</w:t>
      </w:r>
    </w:p>
    <w:p w:rsidR="00A44B58" w:rsidRPr="00837520"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77A" w:rsidRDefault="00A4077A" w:rsidP="00CB15B0">
      <w:pPr>
        <w:spacing w:before="0" w:after="0" w:line="240" w:lineRule="auto"/>
      </w:pPr>
      <w:r>
        <w:separator/>
      </w:r>
    </w:p>
  </w:endnote>
  <w:endnote w:type="continuationSeparator" w:id="0">
    <w:p w:rsidR="00A4077A" w:rsidRDefault="00A4077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77A" w:rsidRDefault="00A4077A" w:rsidP="00CB15B0">
      <w:pPr>
        <w:spacing w:before="0" w:after="0" w:line="240" w:lineRule="auto"/>
      </w:pPr>
      <w:r>
        <w:separator/>
      </w:r>
    </w:p>
  </w:footnote>
  <w:footnote w:type="continuationSeparator" w:id="0">
    <w:p w:rsidR="00A4077A" w:rsidRDefault="00A4077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F639F9"/>
    <w:multiLevelType w:val="hybridMultilevel"/>
    <w:tmpl w:val="1D640EEC"/>
    <w:lvl w:ilvl="0" w:tplc="B4C471CC">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2">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3">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7">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9">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2">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3">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5">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8">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5">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60">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1">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5">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7">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8">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72">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3">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4">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76">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7">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9">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2">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3">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4">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5">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6">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7">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1">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2">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3">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6"/>
  </w:num>
  <w:num w:numId="2">
    <w:abstractNumId w:val="0"/>
  </w:num>
  <w:num w:numId="3">
    <w:abstractNumId w:val="47"/>
  </w:num>
  <w:num w:numId="4">
    <w:abstractNumId w:val="39"/>
  </w:num>
  <w:num w:numId="5">
    <w:abstractNumId w:val="25"/>
  </w:num>
  <w:num w:numId="6">
    <w:abstractNumId w:val="42"/>
  </w:num>
  <w:num w:numId="7">
    <w:abstractNumId w:val="45"/>
  </w:num>
  <w:num w:numId="8">
    <w:abstractNumId w:val="6"/>
  </w:num>
  <w:num w:numId="9">
    <w:abstractNumId w:val="65"/>
  </w:num>
  <w:num w:numId="1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75"/>
  </w:num>
  <w:num w:numId="13">
    <w:abstractNumId w:val="31"/>
  </w:num>
  <w:num w:numId="14">
    <w:abstractNumId w:val="71"/>
  </w:num>
  <w:num w:numId="15">
    <w:abstractNumId w:val="72"/>
  </w:num>
  <w:num w:numId="16">
    <w:abstractNumId w:val="77"/>
  </w:num>
  <w:num w:numId="17">
    <w:abstractNumId w:val="59"/>
  </w:num>
  <w:num w:numId="18">
    <w:abstractNumId w:val="34"/>
  </w:num>
  <w:num w:numId="19">
    <w:abstractNumId w:val="36"/>
  </w:num>
  <w:num w:numId="20">
    <w:abstractNumId w:val="82"/>
  </w:num>
  <w:num w:numId="21">
    <w:abstractNumId w:val="13"/>
  </w:num>
  <w:num w:numId="22">
    <w:abstractNumId w:val="84"/>
  </w:num>
  <w:num w:numId="23">
    <w:abstractNumId w:val="12"/>
  </w:num>
  <w:num w:numId="24">
    <w:abstractNumId w:val="83"/>
  </w:num>
  <w:num w:numId="25">
    <w:abstractNumId w:val="57"/>
  </w:num>
  <w:num w:numId="26">
    <w:abstractNumId w:val="32"/>
  </w:num>
  <w:num w:numId="27">
    <w:abstractNumId w:val="44"/>
  </w:num>
  <w:num w:numId="28">
    <w:abstractNumId w:val="26"/>
  </w:num>
  <w:num w:numId="29">
    <w:abstractNumId w:val="76"/>
  </w:num>
  <w:num w:numId="30">
    <w:abstractNumId w:val="37"/>
  </w:num>
  <w:num w:numId="31">
    <w:abstractNumId w:val="4"/>
  </w:num>
  <w:num w:numId="32">
    <w:abstractNumId w:val="35"/>
  </w:num>
  <w:num w:numId="33">
    <w:abstractNumId w:val="33"/>
  </w:num>
  <w:num w:numId="34">
    <w:abstractNumId w:val="67"/>
  </w:num>
  <w:num w:numId="35">
    <w:abstractNumId w:val="27"/>
  </w:num>
  <w:num w:numId="36">
    <w:abstractNumId w:val="66"/>
  </w:num>
  <w:num w:numId="37">
    <w:abstractNumId w:val="78"/>
  </w:num>
  <w:num w:numId="38">
    <w:abstractNumId w:val="90"/>
  </w:num>
  <w:num w:numId="39">
    <w:abstractNumId w:val="64"/>
  </w:num>
  <w:num w:numId="40">
    <w:abstractNumId w:val="70"/>
  </w:num>
  <w:num w:numId="41">
    <w:abstractNumId w:val="22"/>
  </w:num>
  <w:num w:numId="42">
    <w:abstractNumId w:val="55"/>
  </w:num>
  <w:num w:numId="43">
    <w:abstractNumId w:val="38"/>
  </w:num>
  <w:num w:numId="44">
    <w:abstractNumId w:val="50"/>
  </w:num>
  <w:num w:numId="45">
    <w:abstractNumId w:val="43"/>
  </w:num>
  <w:num w:numId="46">
    <w:abstractNumId w:val="93"/>
  </w:num>
  <w:num w:numId="47">
    <w:abstractNumId w:val="94"/>
  </w:num>
  <w:num w:numId="48">
    <w:abstractNumId w:val="28"/>
  </w:num>
  <w:num w:numId="49">
    <w:abstractNumId w:val="92"/>
  </w:num>
  <w:num w:numId="50">
    <w:abstractNumId w:val="62"/>
  </w:num>
  <w:num w:numId="51">
    <w:abstractNumId w:val="43"/>
  </w:num>
  <w:num w:numId="52">
    <w:abstractNumId w:val="74"/>
  </w:num>
  <w:num w:numId="53">
    <w:abstractNumId w:val="7"/>
  </w:num>
  <w:num w:numId="54">
    <w:abstractNumId w:val="53"/>
  </w:num>
  <w:num w:numId="55">
    <w:abstractNumId w:val="48"/>
  </w:num>
  <w:num w:numId="56">
    <w:abstractNumId w:val="30"/>
  </w:num>
  <w:num w:numId="57">
    <w:abstractNumId w:val="18"/>
  </w:num>
  <w:num w:numId="58">
    <w:abstractNumId w:val="97"/>
  </w:num>
  <w:num w:numId="59">
    <w:abstractNumId w:val="40"/>
  </w:num>
  <w:num w:numId="60">
    <w:abstractNumId w:val="81"/>
  </w:num>
  <w:num w:numId="61">
    <w:abstractNumId w:val="56"/>
  </w:num>
  <w:num w:numId="62">
    <w:abstractNumId w:val="15"/>
  </w:num>
  <w:num w:numId="63">
    <w:abstractNumId w:val="51"/>
  </w:num>
  <w:num w:numId="64">
    <w:abstractNumId w:val="46"/>
  </w:num>
  <w:num w:numId="65">
    <w:abstractNumId w:val="63"/>
  </w:num>
  <w:num w:numId="66">
    <w:abstractNumId w:val="85"/>
  </w:num>
  <w:num w:numId="67">
    <w:abstractNumId w:val="69"/>
  </w:num>
  <w:num w:numId="68">
    <w:abstractNumId w:val="79"/>
  </w:num>
  <w:num w:numId="69">
    <w:abstractNumId w:val="16"/>
  </w:num>
  <w:num w:numId="70">
    <w:abstractNumId w:val="1"/>
  </w:num>
  <w:num w:numId="71">
    <w:abstractNumId w:val="24"/>
  </w:num>
  <w:num w:numId="72">
    <w:abstractNumId w:val="3"/>
  </w:num>
  <w:num w:numId="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1"/>
  </w:num>
  <w:num w:numId="76">
    <w:abstractNumId w:val="41"/>
  </w:num>
  <w:num w:numId="77">
    <w:abstractNumId w:val="68"/>
  </w:num>
  <w:num w:numId="78">
    <w:abstractNumId w:val="96"/>
  </w:num>
  <w:num w:numId="79">
    <w:abstractNumId w:val="17"/>
  </w:num>
  <w:num w:numId="80">
    <w:abstractNumId w:val="87"/>
  </w:num>
  <w:num w:numId="81">
    <w:abstractNumId w:val="14"/>
  </w:num>
  <w:num w:numId="82">
    <w:abstractNumId w:val="61"/>
  </w:num>
  <w:num w:numId="83">
    <w:abstractNumId w:val="52"/>
  </w:num>
  <w:num w:numId="84">
    <w:abstractNumId w:val="5"/>
  </w:num>
  <w:num w:numId="85">
    <w:abstractNumId w:val="9"/>
  </w:num>
  <w:num w:numId="86">
    <w:abstractNumId w:val="91"/>
  </w:num>
  <w:num w:numId="87">
    <w:abstractNumId w:val="11"/>
  </w:num>
  <w:num w:numId="88">
    <w:abstractNumId w:val="10"/>
  </w:num>
  <w:num w:numId="89">
    <w:abstractNumId w:val="88"/>
  </w:num>
  <w:num w:numId="90">
    <w:abstractNumId w:val="19"/>
  </w:num>
  <w:num w:numId="91">
    <w:abstractNumId w:val="8"/>
  </w:num>
  <w:num w:numId="92">
    <w:abstractNumId w:val="54"/>
  </w:num>
  <w:num w:numId="93">
    <w:abstractNumId w:val="29"/>
  </w:num>
  <w:num w:numId="94">
    <w:abstractNumId w:val="89"/>
  </w:num>
  <w:num w:numId="95">
    <w:abstractNumId w:val="80"/>
  </w:num>
  <w:num w:numId="96">
    <w:abstractNumId w:val="58"/>
  </w:num>
  <w:num w:numId="97">
    <w:abstractNumId w:val="49"/>
  </w:num>
  <w:num w:numId="98">
    <w:abstractNumId w:val="95"/>
  </w:num>
  <w:num w:numId="99">
    <w:abstractNumId w:val="47"/>
  </w:num>
  <w:num w:numId="100">
    <w:abstractNumId w:val="2"/>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A7B"/>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03"/>
    <w:rsid w:val="000F386C"/>
    <w:rsid w:val="000F446C"/>
    <w:rsid w:val="000F4EC1"/>
    <w:rsid w:val="000F5303"/>
    <w:rsid w:val="000F5BC1"/>
    <w:rsid w:val="000F5FFD"/>
    <w:rsid w:val="000F66B8"/>
    <w:rsid w:val="000F676B"/>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D35"/>
    <w:rsid w:val="00110DD4"/>
    <w:rsid w:val="001116AB"/>
    <w:rsid w:val="00111725"/>
    <w:rsid w:val="00112306"/>
    <w:rsid w:val="00112938"/>
    <w:rsid w:val="00112B74"/>
    <w:rsid w:val="00112D89"/>
    <w:rsid w:val="00112E55"/>
    <w:rsid w:val="001134D3"/>
    <w:rsid w:val="001135C5"/>
    <w:rsid w:val="00113A33"/>
    <w:rsid w:val="00113BAE"/>
    <w:rsid w:val="00114267"/>
    <w:rsid w:val="001148A8"/>
    <w:rsid w:val="00114C25"/>
    <w:rsid w:val="0011595D"/>
    <w:rsid w:val="00115D1F"/>
    <w:rsid w:val="00115D3A"/>
    <w:rsid w:val="00115D9C"/>
    <w:rsid w:val="00116ABF"/>
    <w:rsid w:val="00116CE7"/>
    <w:rsid w:val="00117122"/>
    <w:rsid w:val="00117D0A"/>
    <w:rsid w:val="00117F02"/>
    <w:rsid w:val="001201DD"/>
    <w:rsid w:val="0012031C"/>
    <w:rsid w:val="00120A1A"/>
    <w:rsid w:val="00120BB3"/>
    <w:rsid w:val="00121285"/>
    <w:rsid w:val="00121A7F"/>
    <w:rsid w:val="00121B48"/>
    <w:rsid w:val="00121D60"/>
    <w:rsid w:val="0012206F"/>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A4F"/>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106"/>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3CFA"/>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5D"/>
    <w:rsid w:val="00251CC0"/>
    <w:rsid w:val="002523D5"/>
    <w:rsid w:val="00252582"/>
    <w:rsid w:val="00252981"/>
    <w:rsid w:val="00253185"/>
    <w:rsid w:val="002533C1"/>
    <w:rsid w:val="0025349A"/>
    <w:rsid w:val="00253BB2"/>
    <w:rsid w:val="00254501"/>
    <w:rsid w:val="00254745"/>
    <w:rsid w:val="00255A9F"/>
    <w:rsid w:val="00255FF6"/>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37F3"/>
    <w:rsid w:val="00273F6B"/>
    <w:rsid w:val="0027491D"/>
    <w:rsid w:val="002749B8"/>
    <w:rsid w:val="00275BC3"/>
    <w:rsid w:val="00277060"/>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756"/>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8BD"/>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1F7"/>
    <w:rsid w:val="004A3540"/>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6EC6"/>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C9C"/>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40"/>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B56"/>
    <w:rsid w:val="005D1C1D"/>
    <w:rsid w:val="005D1DBD"/>
    <w:rsid w:val="005D1F06"/>
    <w:rsid w:val="005D257D"/>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981"/>
    <w:rsid w:val="00643A62"/>
    <w:rsid w:val="006440CE"/>
    <w:rsid w:val="0064462D"/>
    <w:rsid w:val="00644B5F"/>
    <w:rsid w:val="00644E98"/>
    <w:rsid w:val="00645BE8"/>
    <w:rsid w:val="00645CB8"/>
    <w:rsid w:val="00646333"/>
    <w:rsid w:val="006464DE"/>
    <w:rsid w:val="00646561"/>
    <w:rsid w:val="006465CA"/>
    <w:rsid w:val="00647204"/>
    <w:rsid w:val="006476D2"/>
    <w:rsid w:val="00647865"/>
    <w:rsid w:val="00647E7F"/>
    <w:rsid w:val="00650AAB"/>
    <w:rsid w:val="00650BD1"/>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4E4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987"/>
    <w:rsid w:val="006F0C0E"/>
    <w:rsid w:val="006F1490"/>
    <w:rsid w:val="006F1503"/>
    <w:rsid w:val="006F218F"/>
    <w:rsid w:val="006F356F"/>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1FA2"/>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65B"/>
    <w:rsid w:val="0084709D"/>
    <w:rsid w:val="00847417"/>
    <w:rsid w:val="00847AB6"/>
    <w:rsid w:val="00847FE4"/>
    <w:rsid w:val="008507B8"/>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7E1"/>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2871"/>
    <w:rsid w:val="008B2B4C"/>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B3E"/>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15"/>
    <w:rsid w:val="00971CB5"/>
    <w:rsid w:val="00971EB1"/>
    <w:rsid w:val="00972146"/>
    <w:rsid w:val="00972464"/>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31D"/>
    <w:rsid w:val="00A07564"/>
    <w:rsid w:val="00A07924"/>
    <w:rsid w:val="00A07BF9"/>
    <w:rsid w:val="00A07D1F"/>
    <w:rsid w:val="00A10118"/>
    <w:rsid w:val="00A1017B"/>
    <w:rsid w:val="00A1086A"/>
    <w:rsid w:val="00A11085"/>
    <w:rsid w:val="00A116A6"/>
    <w:rsid w:val="00A11DD7"/>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077A"/>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76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7E6"/>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73C"/>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404"/>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86B"/>
    <w:rsid w:val="00B65E15"/>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4D69"/>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49F"/>
    <w:rsid w:val="00C00527"/>
    <w:rsid w:val="00C00589"/>
    <w:rsid w:val="00C009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C05"/>
    <w:rsid w:val="00C33EF6"/>
    <w:rsid w:val="00C34E15"/>
    <w:rsid w:val="00C34E5D"/>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5889"/>
    <w:rsid w:val="00C45BCE"/>
    <w:rsid w:val="00C46129"/>
    <w:rsid w:val="00C461F0"/>
    <w:rsid w:val="00C4661E"/>
    <w:rsid w:val="00C47104"/>
    <w:rsid w:val="00C47971"/>
    <w:rsid w:val="00C47C0D"/>
    <w:rsid w:val="00C47D1B"/>
    <w:rsid w:val="00C500E8"/>
    <w:rsid w:val="00C502F9"/>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6E8"/>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6C7C"/>
    <w:rsid w:val="00C974D7"/>
    <w:rsid w:val="00C97931"/>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1C"/>
    <w:rsid w:val="00CE63BF"/>
    <w:rsid w:val="00CE6757"/>
    <w:rsid w:val="00CE6936"/>
    <w:rsid w:val="00CE6B83"/>
    <w:rsid w:val="00CE6D12"/>
    <w:rsid w:val="00CE6EE7"/>
    <w:rsid w:val="00CE7477"/>
    <w:rsid w:val="00CE7489"/>
    <w:rsid w:val="00CF06AD"/>
    <w:rsid w:val="00CF0E04"/>
    <w:rsid w:val="00CF1789"/>
    <w:rsid w:val="00CF181E"/>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3A0"/>
    <w:rsid w:val="00D154D2"/>
    <w:rsid w:val="00D1576A"/>
    <w:rsid w:val="00D15A01"/>
    <w:rsid w:val="00D15CB5"/>
    <w:rsid w:val="00D16159"/>
    <w:rsid w:val="00D1619C"/>
    <w:rsid w:val="00D168B8"/>
    <w:rsid w:val="00D169DA"/>
    <w:rsid w:val="00D16D17"/>
    <w:rsid w:val="00D17B73"/>
    <w:rsid w:val="00D17F6C"/>
    <w:rsid w:val="00D20500"/>
    <w:rsid w:val="00D20729"/>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2FC"/>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1B26"/>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21D"/>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2DF1"/>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885"/>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0C5"/>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A1B"/>
    <w:rsid w:val="00F56BA6"/>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11C4"/>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7A6"/>
    <w:rsid w:val="00FD4ED0"/>
    <w:rsid w:val="00FD5B55"/>
    <w:rsid w:val="00FD69DC"/>
    <w:rsid w:val="00FD6A28"/>
    <w:rsid w:val="00FD6D9E"/>
    <w:rsid w:val="00FD72F4"/>
    <w:rsid w:val="00FD7570"/>
    <w:rsid w:val="00FD7AC4"/>
    <w:rsid w:val="00FD7B55"/>
    <w:rsid w:val="00FE04A9"/>
    <w:rsid w:val="00FE0A1D"/>
    <w:rsid w:val="00FE0AEE"/>
    <w:rsid w:val="00FE1914"/>
    <w:rsid w:val="00FE1FD3"/>
    <w:rsid w:val="00FE2198"/>
    <w:rsid w:val="00FE220D"/>
    <w:rsid w:val="00FE25DA"/>
    <w:rsid w:val="00FE2B0D"/>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0DE"/>
    <w:rsid w:val="00FF7395"/>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1EEFBB-00E2-461B-A720-6D33514D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3</Pages>
  <Words>662</Words>
  <Characters>3776</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85</cp:revision>
  <cp:lastPrinted>2018-02-12T06:55:00Z</cp:lastPrinted>
  <dcterms:created xsi:type="dcterms:W3CDTF">2021-11-04T09:58:00Z</dcterms:created>
  <dcterms:modified xsi:type="dcterms:W3CDTF">2022-04-29T14:09:00Z</dcterms:modified>
</cp:coreProperties>
</file>